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40DE" w14:textId="4AE2C03F"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2300BE" w:rsidRPr="002300BE">
        <w:rPr>
          <w:rFonts w:ascii="Arial" w:eastAsia="SimSun" w:hAnsi="Arial" w:cs="Times New Roman"/>
          <w:b/>
          <w:bCs/>
          <w:sz w:val="24"/>
          <w:szCs w:val="20"/>
          <w:lang w:val="en-US" w:eastAsia="ja-JP"/>
        </w:rPr>
        <w:t>R4-2408515</w:t>
      </w:r>
    </w:p>
    <w:p w14:paraId="267A77E4"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356273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B2C3EF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B77F0C7" w14:textId="77777777"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7B7198">
        <w:rPr>
          <w:rFonts w:ascii="Arial" w:eastAsia="Calibri" w:hAnsi="Arial" w:cs="Arial"/>
          <w:b/>
          <w:bCs/>
          <w:sz w:val="24"/>
        </w:rPr>
        <w:t>Dicussion on Testability of Case 3 UEs in FR2-NTN</w:t>
      </w:r>
    </w:p>
    <w:p w14:paraId="535CEFD6" w14:textId="340FFA01" w:rsidR="00841BCD" w:rsidRPr="007B7198" w:rsidRDefault="00841BCD" w:rsidP="00841BCD">
      <w:pPr>
        <w:tabs>
          <w:tab w:val="left" w:pos="1985"/>
        </w:tabs>
        <w:spacing w:after="120" w:line="240" w:lineRule="auto"/>
        <w:rPr>
          <w:rFonts w:ascii="Arial" w:eastAsia="MS Mincho" w:hAnsi="Arial" w:cs="Arial"/>
          <w:b/>
          <w:bCs/>
          <w:sz w:val="24"/>
          <w:szCs w:val="20"/>
        </w:rPr>
      </w:pPr>
      <w:r w:rsidRPr="007B7198">
        <w:rPr>
          <w:rFonts w:ascii="Arial" w:eastAsia="MS Mincho" w:hAnsi="Arial" w:cs="Arial"/>
          <w:b/>
          <w:bCs/>
          <w:sz w:val="24"/>
          <w:szCs w:val="20"/>
        </w:rPr>
        <w:t>Agenda item:</w:t>
      </w:r>
      <w:r w:rsidRPr="007B7198">
        <w:rPr>
          <w:rFonts w:ascii="Arial" w:eastAsia="MS Mincho" w:hAnsi="Arial" w:cs="Arial"/>
          <w:b/>
          <w:bCs/>
          <w:sz w:val="24"/>
          <w:szCs w:val="20"/>
        </w:rPr>
        <w:tab/>
      </w:r>
      <w:r w:rsidR="00667F53">
        <w:rPr>
          <w:rFonts w:ascii="Arial" w:eastAsia="MS Mincho" w:hAnsi="Arial" w:cs="Arial"/>
          <w:b/>
          <w:bCs/>
          <w:sz w:val="24"/>
          <w:szCs w:val="20"/>
        </w:rPr>
        <w:t>7.16.7.1</w:t>
      </w:r>
    </w:p>
    <w:p w14:paraId="2F69D40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9F746D1" w14:textId="77777777" w:rsidR="00E323E9" w:rsidRPr="00614DD8" w:rsidRDefault="00E323E9" w:rsidP="00841BCD">
      <w:pPr>
        <w:tabs>
          <w:tab w:val="left" w:pos="1985"/>
        </w:tabs>
        <w:rPr>
          <w:rFonts w:ascii="Arial" w:eastAsia="Calibri" w:hAnsi="Arial" w:cs="Arial"/>
          <w:b/>
          <w:bCs/>
          <w:sz w:val="24"/>
          <w:lang w:val="en-US"/>
        </w:rPr>
      </w:pPr>
    </w:p>
    <w:p w14:paraId="6E647D9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032F681" w14:textId="77777777" w:rsidR="004E7EC0" w:rsidRPr="004E7EC0" w:rsidRDefault="004E7EC0" w:rsidP="004E7EC0">
      <w:pPr>
        <w:rPr>
          <w:lang w:val="en-US"/>
        </w:rPr>
      </w:pPr>
      <w:r w:rsidRPr="004E7EC0">
        <w:rPr>
          <w:lang w:val="en-US"/>
        </w:rPr>
        <w:t xml:space="preserve">The NTN WI, as presented in [1], includes </w:t>
      </w:r>
      <w:r>
        <w:rPr>
          <w:lang w:val="en-US"/>
        </w:rPr>
        <w:t>objectives for enabling NTN in bands above</w:t>
      </w:r>
      <w:r w:rsidRPr="004E7EC0">
        <w:rPr>
          <w:lang w:val="en-US"/>
        </w:rPr>
        <w:t xml:space="preserve"> 10GHz. In previous meetings, it became clear that the timing pre-compensation might be an issue for th</w:t>
      </w:r>
      <w:r>
        <w:rPr>
          <w:lang w:val="en-US"/>
        </w:rPr>
        <w:t>is</w:t>
      </w:r>
      <w:r w:rsidRPr="004E7EC0">
        <w:rPr>
          <w:lang w:val="en-US"/>
        </w:rPr>
        <w:t xml:space="preserve"> operation</w:t>
      </w:r>
      <w:r>
        <w:rPr>
          <w:lang w:val="en-US"/>
        </w:rPr>
        <w:t xml:space="preserve">. </w:t>
      </w:r>
      <w:r w:rsidRPr="004E7EC0">
        <w:rPr>
          <w:lang w:val="en-US"/>
        </w:rPr>
        <w:t>In the previous meetings, RAN4 has reached agreements on the transmit timing accuracy for scenarios where the UE is “fixed”, but for the scenarios where the UE is “mobile”, there is a tentative agreement in place.</w:t>
      </w:r>
      <w:r>
        <w:rPr>
          <w:lang w:val="en-US"/>
        </w:rPr>
        <w:t xml:space="preserve"> The potential  difference in the requirements of the  two cases is justified by some companies, based on the fact that a mobile UE would have further inaccuracies to estimate its own instantaneous position, due to the fact it might be moving. </w:t>
      </w:r>
    </w:p>
    <w:p w14:paraId="5E277506" w14:textId="77777777" w:rsidR="0060543D" w:rsidRPr="004E7EC0" w:rsidRDefault="004E7EC0" w:rsidP="004E7EC0">
      <w:r w:rsidRPr="004E7EC0">
        <w:rPr>
          <w:lang w:val="en-US"/>
        </w:rPr>
        <w:t>A recent decision from RAN plenary [2] has simplified the test configuration for performance tests in NTN for both Release 17 and Release 18. Consequently, uncertainties associated to GNSS positioning by the UE or about the accuracy of the ephemeris and the propagation of ephemeris information over time are removed for the test cases. In the present contribution we discuss the impacts of the simplified setup on the performance requirements.</w:t>
      </w:r>
    </w:p>
    <w:p w14:paraId="2AC14FEE" w14:textId="77777777" w:rsidR="003B659E" w:rsidRDefault="003B659E" w:rsidP="00AE56B1">
      <w:pPr>
        <w:pStyle w:val="RAN4H1"/>
        <w:rPr>
          <w:lang w:val="en-US"/>
        </w:rPr>
      </w:pPr>
      <w:bookmarkStart w:id="4" w:name="_Toc116995842"/>
      <w:r w:rsidRPr="00614DD8">
        <w:rPr>
          <w:lang w:val="en-US"/>
        </w:rPr>
        <w:t>Discussion</w:t>
      </w:r>
      <w:bookmarkEnd w:id="4"/>
    </w:p>
    <w:p w14:paraId="552434C0" w14:textId="77777777" w:rsidR="004E7EC0" w:rsidRDefault="004E7EC0" w:rsidP="004E7EC0">
      <w:pPr>
        <w:pStyle w:val="RAN4H2"/>
        <w:rPr>
          <w:lang w:val="en-US"/>
        </w:rPr>
      </w:pPr>
      <w:r>
        <w:rPr>
          <w:lang w:val="en-US"/>
        </w:rPr>
        <w:t>Implications of simplified setup for UE transmit timing test cases</w:t>
      </w:r>
    </w:p>
    <w:p w14:paraId="69089B0A" w14:textId="77777777" w:rsidR="004E7EC0" w:rsidRPr="00FA0EEE" w:rsidRDefault="00FA0EEE" w:rsidP="004E7EC0">
      <w:r>
        <w:rPr>
          <w:lang w:val="en-US"/>
        </w:rPr>
        <w:t xml:space="preserve">The main reasons for additional margin for transmit timing accuracy in NTN compared to TN is that, due to the UE estimation of the timing advance being based on UE positioning and interpolation of the satellite position based on the ephemeris there are further inaccuracies involved in the transmit timing advance calculation. </w:t>
      </w:r>
    </w:p>
    <w:p w14:paraId="0A30C10D" w14:textId="77777777" w:rsidR="00FA0EEE" w:rsidRDefault="00FA0EEE" w:rsidP="00FA0EEE">
      <w:r>
        <w:rPr>
          <w:lang w:val="en-US"/>
        </w:rPr>
        <w:t xml:space="preserve">However, even though the reasonable justification has lead to relaxation of the core requirements for NTN (compared to TN), the test cases will be performed with far less inaccuracies, as the GNSS position will be provided via closed loop to the UE and the ephemeris position will be “static” during the test cases. </w:t>
      </w:r>
      <w:r>
        <w:t xml:space="preserve">This was captured in the agreements provided in </w:t>
      </w:r>
      <w:r>
        <w:fldChar w:fldCharType="begin"/>
      </w:r>
      <w:r>
        <w:instrText xml:space="preserve"> REF _Ref163487814 \r \h </w:instrText>
      </w:r>
      <w:r>
        <w:fldChar w:fldCharType="separate"/>
      </w:r>
      <w:r w:rsidR="00667F53">
        <w:t>[4]</w:t>
      </w:r>
      <w:r>
        <w:fldChar w:fldCharType="end"/>
      </w:r>
      <w:r>
        <w:t>.</w:t>
      </w:r>
    </w:p>
    <w:tbl>
      <w:tblPr>
        <w:tblStyle w:val="TableGrid"/>
        <w:tblW w:w="0" w:type="auto"/>
        <w:tblLook w:val="04A0" w:firstRow="1" w:lastRow="0" w:firstColumn="1" w:lastColumn="0" w:noHBand="0" w:noVBand="1"/>
      </w:tblPr>
      <w:tblGrid>
        <w:gridCol w:w="9617"/>
      </w:tblGrid>
      <w:tr w:rsidR="00FA0EEE" w14:paraId="7B282959" w14:textId="77777777" w:rsidTr="00DE0908">
        <w:tc>
          <w:tcPr>
            <w:tcW w:w="9617" w:type="dxa"/>
          </w:tcPr>
          <w:p w14:paraId="0B6AD137" w14:textId="77777777" w:rsidR="00FA0EEE" w:rsidRDefault="00FA0EEE" w:rsidP="00DE0908">
            <w:r>
              <w:t>Issue 1-3: [NGSO][RRM] Range of Delay shift for RRM UL timing accuracy test cases</w:t>
            </w:r>
          </w:p>
          <w:p w14:paraId="1BE8D505" w14:textId="77777777" w:rsidR="00FA0EEE" w:rsidRDefault="00FA0EEE" w:rsidP="00DE0908">
            <w:r>
              <w:t>Agreement: confirmed online</w:t>
            </w:r>
          </w:p>
          <w:p w14:paraId="4E40D078" w14:textId="77777777" w:rsidR="00FA0EEE" w:rsidRDefault="00FA0EEE" w:rsidP="00DE0908">
            <w:r>
              <w:t></w:t>
            </w:r>
            <w:r>
              <w:tab/>
              <w:t>The range of the one-way delay from UE to satellite is within 2ms (lowest value for LEO orbit 600km) to 6.67ms (highest for LEO orbit 1200 km)</w:t>
            </w:r>
          </w:p>
          <w:p w14:paraId="278A7984" w14:textId="77777777" w:rsidR="00FA0EEE" w:rsidRDefault="00FA0EEE" w:rsidP="00DE0908">
            <w:r>
              <w:t></w:t>
            </w:r>
            <w:r>
              <w:tab/>
              <w:t>Assuming that the absolute elevation angle is larger than 30 degree</w:t>
            </w:r>
          </w:p>
          <w:p w14:paraId="06648257" w14:textId="77777777" w:rsidR="00FA0EEE" w:rsidRDefault="00FA0EEE" w:rsidP="00DE0908">
            <w:r>
              <w:t></w:t>
            </w:r>
            <w:r>
              <w:tab/>
              <w:t>The range can be further limited, considering other factors like elevation angles and satellite height.</w:t>
            </w:r>
          </w:p>
          <w:p w14:paraId="58E8FEB9" w14:textId="77777777" w:rsidR="00FA0EEE" w:rsidRDefault="00FA0EEE" w:rsidP="00DE0908">
            <w:r>
              <w:t></w:t>
            </w:r>
            <w:r>
              <w:tab/>
              <w:t xml:space="preserve">The set of values is to be introduced by RAN4.  RAN5 to select from this set according to RAN4’s test case revision. </w:t>
            </w:r>
          </w:p>
          <w:p w14:paraId="7D80E51B" w14:textId="77777777" w:rsidR="00FA0EEE" w:rsidRDefault="00FA0EEE" w:rsidP="00DE0908">
            <w:r>
              <w:t></w:t>
            </w:r>
            <w:r>
              <w:tab/>
              <w:t>At least the worst-case value needs to be selected</w:t>
            </w:r>
          </w:p>
          <w:p w14:paraId="54E23E35" w14:textId="77777777" w:rsidR="00FA0EEE" w:rsidRPr="00EE21CF" w:rsidRDefault="00FA0EEE" w:rsidP="00DE0908">
            <w:pPr>
              <w:rPr>
                <w:highlight w:val="yellow"/>
              </w:rPr>
            </w:pPr>
            <w:r>
              <w:t></w:t>
            </w:r>
            <w:r>
              <w:tab/>
            </w:r>
            <w:r w:rsidRPr="00EE21CF">
              <w:rPr>
                <w:highlight w:val="yellow"/>
              </w:rPr>
              <w:t xml:space="preserve">UE should derive the amount of time delay to be pre-compensated based on the ephemeris info (SIB-19 or SIB-31) and UE location. </w:t>
            </w:r>
          </w:p>
          <w:p w14:paraId="06796BC5" w14:textId="77777777" w:rsidR="00FA0EEE" w:rsidRDefault="00FA0EEE" w:rsidP="00DE0908">
            <w:r w:rsidRPr="00EE21CF">
              <w:rPr>
                <w:highlight w:val="yellow"/>
              </w:rPr>
              <w:t></w:t>
            </w:r>
            <w:r w:rsidRPr="00EE21CF">
              <w:rPr>
                <w:highlight w:val="yellow"/>
              </w:rPr>
              <w:tab/>
              <w:t>The same ephemeris info will be maintained during each single timing accuracy measurement of the TE</w:t>
            </w:r>
          </w:p>
        </w:tc>
      </w:tr>
    </w:tbl>
    <w:p w14:paraId="4EC731CB" w14:textId="77777777" w:rsidR="00FA0EEE" w:rsidRDefault="00FA0EEE" w:rsidP="00FA0EEE"/>
    <w:p w14:paraId="4ACE1954" w14:textId="77777777" w:rsidR="00FA0EEE" w:rsidRDefault="00FA0EEE" w:rsidP="00FA0EEE">
      <w:r>
        <w:t xml:space="preserve">This is not a particular case for FR2-NTN, as it was already something previously seen for FR1-NTN in Release 17. The solution for maintaining the usefulness of the test case in Rel-17 was introducing the parameter Te_margin, which </w:t>
      </w:r>
      <w:r>
        <w:lastRenderedPageBreak/>
        <w:t xml:space="preserve">is a negative value to the overall UL transmit timing margin, tightening the requirements considering the performance test case is produced in a much more simplified scenario. </w:t>
      </w:r>
    </w:p>
    <w:p w14:paraId="5FAE8A86" w14:textId="77777777" w:rsidR="00FA0EEE" w:rsidRDefault="00FA0EEE" w:rsidP="00FA0EEE">
      <w:r>
        <w:t>The value of Te_margin is equal to 5,12 Ts for FR1. However, in FR2-NTN, such value would correspond, in scenarios 1 and 2, to more than what was originally relaxed from the legacy requirements. Therefore, the same value cannot be used as tightening parameter. In order to maintain the same principle of testability, we propose that:</w:t>
      </w:r>
    </w:p>
    <w:p w14:paraId="46051CCF" w14:textId="77777777" w:rsidR="00FA0EEE" w:rsidRPr="00A55BEC" w:rsidRDefault="00FA0EEE" w:rsidP="00FA0EEE">
      <w:pPr>
        <w:pStyle w:val="RAN4proposal"/>
      </w:pPr>
      <w:bookmarkStart w:id="5" w:name="_Toc163491717"/>
      <w:bookmarkStart w:id="6" w:name="_Toc166500394"/>
      <w:r>
        <w:t xml:space="preserve">For FR2-NTN, adopt </w:t>
      </w:r>
      <m:oMath>
        <m:sSub>
          <m:sSubPr>
            <m:ctrlPr>
              <w:rPr>
                <w:rFonts w:ascii="Cambria Math" w:hAnsi="Cambria Math"/>
              </w:rPr>
            </m:ctrlPr>
          </m:sSubPr>
          <m:e>
            <m:r>
              <m:rPr>
                <m:sty m:val="bi"/>
              </m:rPr>
              <w:rPr>
                <w:rFonts w:ascii="Cambria Math" w:hAnsi="Cambria Math"/>
              </w:rPr>
              <m:t>T</m:t>
            </m:r>
          </m:e>
          <m:sub>
            <m:r>
              <m:rPr>
                <m:nor/>
              </m:rPr>
              <m:t>GNSS_margin</m:t>
            </m:r>
          </m:sub>
        </m:sSub>
      </m:oMath>
      <w:r w:rsidRPr="00053A7D">
        <w:t xml:space="preserve"> equal to</w:t>
      </w:r>
      <w:r>
        <w:t xml:space="preserv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e_NTN</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)/2</m:t>
        </m:r>
      </m:oMath>
      <w:r>
        <w:t>, when AT commands are used in the test case in scenarios 1 and 2.</w:t>
      </w:r>
      <w:bookmarkEnd w:id="5"/>
      <w:bookmarkEnd w:id="6"/>
      <w:r>
        <w:t xml:space="preserve"> </w:t>
      </w:r>
    </w:p>
    <w:p w14:paraId="4D2EFAC7" w14:textId="77777777" w:rsidR="00FA0EEE" w:rsidRPr="00FA0EEE" w:rsidRDefault="00FA0EEE" w:rsidP="004E7EC0">
      <w:r>
        <w:t xml:space="preserve">The situation for case 3 requires even further investigation and discussion in RAN4. In this case even further relaxation is introduced due to the fact that UE is moving (“mobile VSAT”). But </w:t>
      </w:r>
      <w:r w:rsidR="00372776">
        <w:t xml:space="preserve">it is not clear from the test setup whether it is possible to update the UE position during the test cases, therefore, it is unclear whether the UE can be set to “moving” in the test cases. Because of this, there is no reason for the differentiation of the UE transmit timing in the test case between fixed and mobile UEs. </w:t>
      </w:r>
    </w:p>
    <w:p w14:paraId="1E578C5F" w14:textId="77777777" w:rsidR="004E7EC0" w:rsidRDefault="00372776" w:rsidP="00372776">
      <w:pPr>
        <w:pStyle w:val="RAN4proposal"/>
      </w:pPr>
      <w:bookmarkStart w:id="7" w:name="_Toc166500395"/>
      <w:r>
        <w:t>For case 3, adopt the transmit timing accuracy equal to cases 1 and 2, when UE is tested with fixed position in a simplified test setup.</w:t>
      </w:r>
      <w:bookmarkEnd w:id="7"/>
      <w:r>
        <w:t xml:space="preserve"> </w:t>
      </w:r>
    </w:p>
    <w:p w14:paraId="1FB0D774" w14:textId="77777777" w:rsidR="00372776" w:rsidRDefault="00372776" w:rsidP="00372776"/>
    <w:p w14:paraId="5E4646CB" w14:textId="77777777" w:rsidR="00372776" w:rsidRDefault="00372776" w:rsidP="00372776">
      <w:pPr>
        <w:pStyle w:val="RAN4H2"/>
      </w:pPr>
      <w:r>
        <w:t>Test Cases for Mechanically steered UEs</w:t>
      </w:r>
    </w:p>
    <w:p w14:paraId="4916C8CA" w14:textId="77777777" w:rsidR="00372776" w:rsidRDefault="00372776" w:rsidP="00372776">
      <w:r>
        <w:t xml:space="preserve">In RAN4 #109 </w:t>
      </w:r>
      <w:r>
        <w:fldChar w:fldCharType="begin"/>
      </w:r>
      <w:r>
        <w:instrText xml:space="preserve"> REF _Ref163490872 \r \h </w:instrText>
      </w:r>
      <w:r>
        <w:fldChar w:fldCharType="separate"/>
      </w:r>
      <w:r w:rsidR="00667F53">
        <w:t>[5]</w:t>
      </w:r>
      <w:r>
        <w:fldChar w:fldCharType="end"/>
      </w:r>
      <w:r>
        <w:t>, the following agreement was made regarding the HO cases for mechanically steered beams:</w:t>
      </w:r>
    </w:p>
    <w:tbl>
      <w:tblPr>
        <w:tblStyle w:val="TableGrid"/>
        <w:tblW w:w="0" w:type="auto"/>
        <w:tblLook w:val="04A0" w:firstRow="1" w:lastRow="0" w:firstColumn="1" w:lastColumn="0" w:noHBand="0" w:noVBand="1"/>
      </w:tblPr>
      <w:tblGrid>
        <w:gridCol w:w="9617"/>
      </w:tblGrid>
      <w:tr w:rsidR="00372776" w14:paraId="4AC21F75" w14:textId="77777777" w:rsidTr="00DE0908">
        <w:tc>
          <w:tcPr>
            <w:tcW w:w="9617" w:type="dxa"/>
          </w:tcPr>
          <w:p w14:paraId="0A21CE92" w14:textId="77777777" w:rsidR="00372776" w:rsidRDefault="00372776" w:rsidP="00DE0908">
            <w:pPr>
              <w:rPr>
                <w:lang w:eastAsia="zh-CN"/>
              </w:rPr>
            </w:pPr>
          </w:p>
          <w:p w14:paraId="4DFE5AB4" w14:textId="77777777" w:rsidR="00372776" w:rsidRDefault="00372776" w:rsidP="00DE0908">
            <w:pPr>
              <w:outlineLvl w:val="2"/>
              <w:rPr>
                <w:b/>
                <w:u w:val="single"/>
                <w:lang w:eastAsia="ko-KR"/>
              </w:rPr>
            </w:pPr>
            <w:r>
              <w:rPr>
                <w:b/>
                <w:u w:val="single"/>
                <w:lang w:eastAsia="ko-KR"/>
              </w:rPr>
              <w:t>Issue 2-10: Inter-satellite Handover</w:t>
            </w:r>
          </w:p>
          <w:p w14:paraId="31EA96EA" w14:textId="77777777" w:rsidR="00372776" w:rsidRPr="00DB01F9" w:rsidRDefault="00372776" w:rsidP="00DE0908">
            <w:pPr>
              <w:spacing w:after="120" w:line="252" w:lineRule="auto"/>
              <w:ind w:firstLine="284"/>
              <w:rPr>
                <w:b/>
                <w:bCs/>
                <w:highlight w:val="green"/>
                <w:u w:val="single"/>
                <w:lang w:eastAsia="ja-JP"/>
              </w:rPr>
            </w:pPr>
            <w:r w:rsidRPr="00DB01F9">
              <w:rPr>
                <w:b/>
                <w:bCs/>
                <w:highlight w:val="green"/>
                <w:u w:val="single"/>
                <w:lang w:eastAsia="ja-JP"/>
              </w:rPr>
              <w:t>Agreement:</w:t>
            </w:r>
          </w:p>
          <w:p w14:paraId="0FAC5B96" w14:textId="77777777" w:rsidR="00372776" w:rsidRPr="009F5560" w:rsidRDefault="00372776" w:rsidP="00372776">
            <w:pPr>
              <w:pStyle w:val="ListParagraph"/>
              <w:numPr>
                <w:ilvl w:val="0"/>
                <w:numId w:val="27"/>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For type 1 UE, the additional interruption length X: 3*Trs</w:t>
            </w:r>
          </w:p>
          <w:p w14:paraId="62425565" w14:textId="77777777" w:rsidR="00372776" w:rsidRPr="009F5560" w:rsidRDefault="00372776" w:rsidP="00372776">
            <w:pPr>
              <w:pStyle w:val="ListParagraph"/>
              <w:numPr>
                <w:ilvl w:val="0"/>
                <w:numId w:val="27"/>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For type 2 UE: Introduce requirements based on the assumption as 22 degree/s for beam steering speed without UE capability </w:t>
            </w:r>
          </w:p>
          <w:p w14:paraId="25D2DD9B" w14:textId="77777777" w:rsidR="00372776" w:rsidRPr="009F5560" w:rsidRDefault="00372776" w:rsidP="00372776">
            <w:pPr>
              <w:pStyle w:val="ListParagraph"/>
              <w:numPr>
                <w:ilvl w:val="1"/>
                <w:numId w:val="27"/>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using formula as Angle offset / UE beam steering speed </w:t>
            </w:r>
          </w:p>
          <w:p w14:paraId="258C5BF3" w14:textId="77777777" w:rsidR="00372776" w:rsidRPr="009F5560" w:rsidRDefault="00372776" w:rsidP="00372776">
            <w:pPr>
              <w:pStyle w:val="ListParagraph"/>
              <w:numPr>
                <w:ilvl w:val="1"/>
                <w:numId w:val="27"/>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UE beam steering speed as 22 degree/s</w:t>
            </w:r>
          </w:p>
          <w:p w14:paraId="14B04E8C" w14:textId="77777777" w:rsidR="00372776" w:rsidRDefault="00372776" w:rsidP="00DE0908"/>
        </w:tc>
      </w:tr>
    </w:tbl>
    <w:p w14:paraId="143DBA1A" w14:textId="77777777" w:rsidR="00372776" w:rsidRDefault="00372776" w:rsidP="00372776"/>
    <w:p w14:paraId="1F192ED2" w14:textId="77777777" w:rsidR="00372776" w:rsidRDefault="00372776" w:rsidP="00372776">
      <w:r>
        <w:t xml:space="preserve">Therefore, the total duration of the  HO requirements depend on the difference difference between the angles formed by UE and source and UE and target satellites.  It cannot be predetermined unless the UE position and the ephemeris for both satellites is determined, which currently is only performed at RAN5 specifications. </w:t>
      </w:r>
    </w:p>
    <w:p w14:paraId="2425EAAF" w14:textId="77777777" w:rsidR="00372776" w:rsidRDefault="00372776" w:rsidP="00372776">
      <w:r>
        <w:t>For that reason, we can only provide high level guidelines in current RAN4 specification. We therefore propose:</w:t>
      </w:r>
    </w:p>
    <w:p w14:paraId="5DA8FE7C" w14:textId="77777777" w:rsidR="00372776" w:rsidRDefault="00372776" w:rsidP="00372776">
      <w:pPr>
        <w:pStyle w:val="RAN4proposal"/>
      </w:pPr>
      <w:bookmarkStart w:id="8" w:name="_Toc163491718"/>
      <w:bookmarkStart w:id="9" w:name="_Toc166500396"/>
      <w:r>
        <w:t>For mobility test cases involving UEs with mechanically steered beams, make a note that the timing requirement for the completion of the mobility procedure depends on the setup of the test case, considering UE “minimum steering speed” of 22 degrees/s.</w:t>
      </w:r>
      <w:bookmarkEnd w:id="8"/>
      <w:bookmarkEnd w:id="9"/>
      <w:r>
        <w:t xml:space="preserve"> </w:t>
      </w:r>
    </w:p>
    <w:p w14:paraId="1B7F3A75" w14:textId="77777777" w:rsidR="0080531D" w:rsidRDefault="0080531D" w:rsidP="0080531D"/>
    <w:p w14:paraId="3EA330F7" w14:textId="78375C23" w:rsidR="0080531D" w:rsidRDefault="0080531D" w:rsidP="0080531D">
      <w:pPr>
        <w:pStyle w:val="RAN4H2"/>
      </w:pPr>
      <w:r>
        <w:t>On Measurement performance requirements</w:t>
      </w:r>
    </w:p>
    <w:p w14:paraId="58508A3A" w14:textId="77777777" w:rsidR="0080531D" w:rsidRDefault="0080531D" w:rsidP="0080531D">
      <w:r>
        <w:t xml:space="preserve">In the WF from RAN4 #110-bis, in the worksplit division there was an implicit discussion whether to add the tentative test cases for measurement accuracy for FR2-NTN </w:t>
      </w:r>
      <w:r>
        <w:fldChar w:fldCharType="begin"/>
      </w:r>
      <w:r>
        <w:instrText xml:space="preserve"> REF _Ref166499966 \r \h </w:instrText>
      </w:r>
      <w:r>
        <w:fldChar w:fldCharType="separate"/>
      </w:r>
      <w:r>
        <w:t>[3]</w:t>
      </w:r>
      <w:r>
        <w:fldChar w:fldCharType="end"/>
      </w:r>
      <w:r>
        <w:t>:</w:t>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88"/>
        <w:gridCol w:w="2092"/>
        <w:gridCol w:w="2608"/>
        <w:gridCol w:w="2392"/>
        <w:gridCol w:w="1317"/>
      </w:tblGrid>
      <w:tr w:rsidR="0080531D" w:rsidRPr="00EF2888" w14:paraId="4A597879" w14:textId="77777777" w:rsidTr="00BD55F3">
        <w:tc>
          <w:tcPr>
            <w:tcW w:w="619" w:type="pct"/>
            <w:tcBorders>
              <w:top w:val="single" w:sz="12" w:space="0" w:color="auto"/>
              <w:bottom w:val="single" w:sz="12" w:space="0" w:color="auto"/>
            </w:tcBorders>
            <w:shd w:val="clear" w:color="auto" w:fill="BFBFBF" w:themeFill="background1" w:themeFillShade="BF"/>
          </w:tcPr>
          <w:p w14:paraId="24D3BDEC" w14:textId="77777777" w:rsidR="0080531D" w:rsidRPr="00EF2888" w:rsidRDefault="0080531D" w:rsidP="00BD55F3">
            <w:pPr>
              <w:jc w:val="center"/>
              <w:rPr>
                <w:b/>
                <w:bCs/>
                <w:lang w:val="en-US" w:eastAsia="ja-JP"/>
              </w:rPr>
            </w:pPr>
            <w:r w:rsidRPr="00EF2888">
              <w:rPr>
                <w:b/>
                <w:bCs/>
                <w:lang w:val="en-US" w:eastAsia="ja-JP"/>
              </w:rPr>
              <w:t>Band</w:t>
            </w:r>
          </w:p>
        </w:tc>
        <w:tc>
          <w:tcPr>
            <w:tcW w:w="1090" w:type="pct"/>
            <w:tcBorders>
              <w:top w:val="single" w:sz="12" w:space="0" w:color="auto"/>
              <w:bottom w:val="single" w:sz="12" w:space="0" w:color="auto"/>
            </w:tcBorders>
            <w:shd w:val="clear" w:color="auto" w:fill="BFBFBF" w:themeFill="background1" w:themeFillShade="BF"/>
          </w:tcPr>
          <w:p w14:paraId="6A29BAF5" w14:textId="77777777" w:rsidR="0080531D" w:rsidRPr="00EF2888" w:rsidRDefault="0080531D" w:rsidP="00BD55F3">
            <w:pPr>
              <w:jc w:val="center"/>
              <w:rPr>
                <w:b/>
                <w:bCs/>
                <w:lang w:val="en-US" w:eastAsia="ja-JP"/>
              </w:rPr>
            </w:pPr>
            <w:r w:rsidRPr="00EF2888">
              <w:rPr>
                <w:b/>
                <w:bCs/>
                <w:lang w:val="en-US" w:eastAsia="ja-JP"/>
              </w:rPr>
              <w:t>Category</w:t>
            </w:r>
          </w:p>
        </w:tc>
        <w:tc>
          <w:tcPr>
            <w:tcW w:w="1359" w:type="pct"/>
            <w:tcBorders>
              <w:top w:val="single" w:sz="12" w:space="0" w:color="auto"/>
              <w:bottom w:val="single" w:sz="12" w:space="0" w:color="auto"/>
            </w:tcBorders>
            <w:shd w:val="clear" w:color="auto" w:fill="BFBFBF" w:themeFill="background1" w:themeFillShade="BF"/>
          </w:tcPr>
          <w:p w14:paraId="5DF639FF" w14:textId="77777777" w:rsidR="0080531D" w:rsidRPr="00EF2888" w:rsidRDefault="0080531D" w:rsidP="00BD55F3">
            <w:pPr>
              <w:jc w:val="center"/>
              <w:rPr>
                <w:b/>
                <w:bCs/>
                <w:lang w:val="en-US" w:eastAsia="ja-JP"/>
              </w:rPr>
            </w:pPr>
            <w:r w:rsidRPr="00EF2888">
              <w:rPr>
                <w:b/>
                <w:bCs/>
                <w:lang w:val="en-US" w:eastAsia="ja-JP"/>
              </w:rPr>
              <w:t>Test case</w:t>
            </w:r>
          </w:p>
        </w:tc>
        <w:tc>
          <w:tcPr>
            <w:tcW w:w="1246" w:type="pct"/>
            <w:tcBorders>
              <w:top w:val="single" w:sz="12" w:space="0" w:color="auto"/>
              <w:bottom w:val="single" w:sz="12" w:space="0" w:color="auto"/>
            </w:tcBorders>
            <w:shd w:val="clear" w:color="auto" w:fill="BFBFBF" w:themeFill="background1" w:themeFillShade="BF"/>
          </w:tcPr>
          <w:p w14:paraId="4A1BC22E" w14:textId="77777777" w:rsidR="0080531D" w:rsidRPr="00EF2888" w:rsidRDefault="0080531D" w:rsidP="00BD55F3">
            <w:pPr>
              <w:jc w:val="center"/>
              <w:rPr>
                <w:b/>
                <w:bCs/>
                <w:lang w:eastAsia="ja-JP"/>
              </w:rPr>
            </w:pPr>
            <w:r w:rsidRPr="00EF2888">
              <w:rPr>
                <w:b/>
                <w:bCs/>
                <w:lang w:eastAsia="ja-JP"/>
              </w:rPr>
              <w:t>Configuration</w:t>
            </w:r>
          </w:p>
        </w:tc>
        <w:tc>
          <w:tcPr>
            <w:tcW w:w="686" w:type="pct"/>
            <w:tcBorders>
              <w:top w:val="single" w:sz="12" w:space="0" w:color="auto"/>
              <w:bottom w:val="single" w:sz="12" w:space="0" w:color="auto"/>
            </w:tcBorders>
            <w:shd w:val="clear" w:color="auto" w:fill="BFBFBF" w:themeFill="background1" w:themeFillShade="BF"/>
          </w:tcPr>
          <w:p w14:paraId="25F530AF" w14:textId="77777777" w:rsidR="0080531D" w:rsidRPr="00EF2888" w:rsidRDefault="0080531D" w:rsidP="00BD55F3">
            <w:pPr>
              <w:jc w:val="center"/>
              <w:rPr>
                <w:b/>
                <w:bCs/>
                <w:lang w:val="en-US" w:eastAsia="ja-JP"/>
              </w:rPr>
            </w:pPr>
            <w:r w:rsidRPr="00EF2888">
              <w:rPr>
                <w:b/>
                <w:bCs/>
                <w:lang w:val="en-US" w:eastAsia="ja-JP"/>
              </w:rPr>
              <w:t>Company</w:t>
            </w:r>
          </w:p>
        </w:tc>
      </w:tr>
      <w:tr w:rsidR="0080531D" w:rsidRPr="00177CCC" w14:paraId="0D269410" w14:textId="77777777" w:rsidTr="00BD55F3">
        <w:tc>
          <w:tcPr>
            <w:tcW w:w="619" w:type="pct"/>
            <w:tcBorders>
              <w:top w:val="single" w:sz="4" w:space="0" w:color="auto"/>
              <w:bottom w:val="single" w:sz="4" w:space="0" w:color="auto"/>
            </w:tcBorders>
          </w:tcPr>
          <w:p w14:paraId="274838FF" w14:textId="77777777" w:rsidR="0080531D" w:rsidRPr="00EF2888" w:rsidRDefault="0080531D" w:rsidP="00BD55F3">
            <w:pPr>
              <w:rPr>
                <w:lang w:val="en-US" w:eastAsia="ja-JP"/>
              </w:rPr>
            </w:pPr>
            <w:r w:rsidRPr="00EF2888">
              <w:rPr>
                <w:lang w:val="en-US" w:eastAsia="ja-JP"/>
              </w:rPr>
              <w:t>Above 10 GHz</w:t>
            </w:r>
          </w:p>
        </w:tc>
        <w:tc>
          <w:tcPr>
            <w:tcW w:w="1090" w:type="pct"/>
            <w:tcBorders>
              <w:top w:val="single" w:sz="4" w:space="0" w:color="auto"/>
              <w:bottom w:val="single" w:sz="4" w:space="0" w:color="auto"/>
            </w:tcBorders>
          </w:tcPr>
          <w:p w14:paraId="18BF4377" w14:textId="77777777" w:rsidR="0080531D" w:rsidRPr="00EF2888" w:rsidRDefault="0080531D" w:rsidP="00BD55F3">
            <w:pPr>
              <w:rPr>
                <w:lang w:val="en-US" w:eastAsia="ja-JP"/>
              </w:rPr>
            </w:pPr>
            <w:r w:rsidRPr="00EF2888">
              <w:rPr>
                <w:lang w:eastAsia="ja-JP"/>
              </w:rPr>
              <w:t>Measurement accuracy</w:t>
            </w:r>
          </w:p>
        </w:tc>
        <w:tc>
          <w:tcPr>
            <w:tcW w:w="1359" w:type="pct"/>
            <w:tcBorders>
              <w:top w:val="single" w:sz="4" w:space="0" w:color="auto"/>
              <w:bottom w:val="single" w:sz="4" w:space="0" w:color="auto"/>
            </w:tcBorders>
          </w:tcPr>
          <w:p w14:paraId="7C8BE1E0" w14:textId="77777777" w:rsidR="0080531D" w:rsidRPr="00EF2888" w:rsidRDefault="0080531D" w:rsidP="00BD55F3">
            <w:pPr>
              <w:rPr>
                <w:lang w:val="en-US" w:eastAsia="ja-JP"/>
              </w:rPr>
            </w:pPr>
            <w:r w:rsidRPr="00EF2888">
              <w:rPr>
                <w:lang w:eastAsia="ja-JP"/>
              </w:rPr>
              <w:t>L3-RSRP</w:t>
            </w:r>
          </w:p>
        </w:tc>
        <w:tc>
          <w:tcPr>
            <w:tcW w:w="1246" w:type="pct"/>
            <w:tcBorders>
              <w:top w:val="single" w:sz="4" w:space="0" w:color="auto"/>
              <w:bottom w:val="single" w:sz="4" w:space="0" w:color="auto"/>
            </w:tcBorders>
          </w:tcPr>
          <w:p w14:paraId="1D6550AE" w14:textId="77777777" w:rsidR="0080531D" w:rsidRPr="00EF2888" w:rsidRDefault="0080531D" w:rsidP="00BD55F3">
            <w:pPr>
              <w:rPr>
                <w:lang w:val="en-US" w:eastAsia="ja-JP"/>
              </w:rPr>
            </w:pPr>
            <w:r w:rsidRPr="00EF2888">
              <w:rPr>
                <w:lang w:val="en-US" w:eastAsia="ja-JP"/>
              </w:rPr>
              <w:t>Type 1 and Type 2</w:t>
            </w:r>
          </w:p>
          <w:p w14:paraId="52D4D1E4" w14:textId="77777777" w:rsidR="0080531D" w:rsidRPr="00EF2888" w:rsidRDefault="0080531D" w:rsidP="00BD55F3">
            <w:pPr>
              <w:rPr>
                <w:lang w:val="en-US" w:eastAsia="ja-JP"/>
              </w:rPr>
            </w:pPr>
            <w:r w:rsidRPr="00075D47">
              <w:rPr>
                <w:lang w:val="en-US" w:eastAsia="ja-JP"/>
              </w:rPr>
              <w:lastRenderedPageBreak/>
              <w:t>[Without gap, Intra-frequency, SSB, non-DRX, SSB index reading]</w:t>
            </w:r>
          </w:p>
        </w:tc>
        <w:tc>
          <w:tcPr>
            <w:tcW w:w="686" w:type="pct"/>
            <w:tcBorders>
              <w:top w:val="single" w:sz="4" w:space="0" w:color="auto"/>
              <w:bottom w:val="single" w:sz="4" w:space="0" w:color="auto"/>
            </w:tcBorders>
          </w:tcPr>
          <w:p w14:paraId="4984F7E3" w14:textId="77777777" w:rsidR="0080531D" w:rsidRPr="00177CCC" w:rsidRDefault="0080531D" w:rsidP="00BD55F3">
            <w:pPr>
              <w:rPr>
                <w:lang w:val="en-US" w:eastAsia="ja-JP"/>
              </w:rPr>
            </w:pPr>
            <w:r>
              <w:rPr>
                <w:lang w:val="en-US" w:eastAsia="ja-JP"/>
              </w:rPr>
              <w:lastRenderedPageBreak/>
              <w:t>Nokia</w:t>
            </w:r>
          </w:p>
        </w:tc>
      </w:tr>
      <w:tr w:rsidR="0080531D" w:rsidRPr="00177CCC" w14:paraId="76208A2F" w14:textId="77777777" w:rsidTr="00BD55F3">
        <w:tc>
          <w:tcPr>
            <w:tcW w:w="619" w:type="pct"/>
            <w:tcBorders>
              <w:top w:val="single" w:sz="4" w:space="0" w:color="auto"/>
              <w:bottom w:val="single" w:sz="12" w:space="0" w:color="auto"/>
            </w:tcBorders>
          </w:tcPr>
          <w:p w14:paraId="1C0AE010" w14:textId="77777777" w:rsidR="0080531D" w:rsidRPr="00EF2888" w:rsidRDefault="0080531D" w:rsidP="00BD55F3">
            <w:pPr>
              <w:rPr>
                <w:lang w:val="en-US" w:eastAsia="ja-JP"/>
              </w:rPr>
            </w:pPr>
            <w:r w:rsidRPr="00EF2888">
              <w:rPr>
                <w:lang w:val="en-US" w:eastAsia="ja-JP"/>
              </w:rPr>
              <w:t>Above 10 GHz</w:t>
            </w:r>
          </w:p>
        </w:tc>
        <w:tc>
          <w:tcPr>
            <w:tcW w:w="1090" w:type="pct"/>
            <w:tcBorders>
              <w:top w:val="single" w:sz="4" w:space="0" w:color="auto"/>
              <w:bottom w:val="single" w:sz="12" w:space="0" w:color="auto"/>
            </w:tcBorders>
          </w:tcPr>
          <w:p w14:paraId="68428CC4" w14:textId="77777777" w:rsidR="0080531D" w:rsidRPr="00EF2888" w:rsidRDefault="0080531D" w:rsidP="00BD55F3">
            <w:pPr>
              <w:rPr>
                <w:lang w:val="en-US" w:eastAsia="ja-JP"/>
              </w:rPr>
            </w:pPr>
            <w:r w:rsidRPr="00EF2888">
              <w:rPr>
                <w:lang w:eastAsia="ja-JP"/>
              </w:rPr>
              <w:t>Measurement accuracy</w:t>
            </w:r>
          </w:p>
        </w:tc>
        <w:tc>
          <w:tcPr>
            <w:tcW w:w="1359" w:type="pct"/>
            <w:tcBorders>
              <w:top w:val="single" w:sz="4" w:space="0" w:color="auto"/>
              <w:bottom w:val="single" w:sz="12" w:space="0" w:color="auto"/>
            </w:tcBorders>
          </w:tcPr>
          <w:p w14:paraId="5C1F3BEE" w14:textId="77777777" w:rsidR="0080531D" w:rsidRPr="00EF2888" w:rsidRDefault="0080531D" w:rsidP="00BD55F3">
            <w:pPr>
              <w:rPr>
                <w:lang w:val="en-US" w:eastAsia="ja-JP"/>
              </w:rPr>
            </w:pPr>
            <w:r w:rsidRPr="00EF2888">
              <w:rPr>
                <w:lang w:eastAsia="ja-JP"/>
              </w:rPr>
              <w:t>L1-RSRP</w:t>
            </w:r>
          </w:p>
        </w:tc>
        <w:tc>
          <w:tcPr>
            <w:tcW w:w="1246" w:type="pct"/>
            <w:tcBorders>
              <w:top w:val="single" w:sz="4" w:space="0" w:color="auto"/>
              <w:bottom w:val="single" w:sz="12" w:space="0" w:color="auto"/>
            </w:tcBorders>
          </w:tcPr>
          <w:p w14:paraId="354AF58C" w14:textId="77777777" w:rsidR="0080531D" w:rsidRPr="00EF2888" w:rsidRDefault="0080531D" w:rsidP="00BD55F3">
            <w:pPr>
              <w:rPr>
                <w:lang w:val="en-US" w:eastAsia="ja-JP"/>
              </w:rPr>
            </w:pPr>
            <w:r w:rsidRPr="00EF2888">
              <w:rPr>
                <w:lang w:val="en-US" w:eastAsia="ja-JP"/>
              </w:rPr>
              <w:t>Type 1 and Type 2</w:t>
            </w:r>
          </w:p>
          <w:p w14:paraId="17BADEC4" w14:textId="77777777" w:rsidR="0080531D" w:rsidRPr="00EF2888" w:rsidRDefault="0080531D" w:rsidP="00BD55F3">
            <w:pPr>
              <w:rPr>
                <w:lang w:val="en-US" w:eastAsia="ja-JP"/>
              </w:rPr>
            </w:pPr>
            <w:r w:rsidRPr="00075D47">
              <w:rPr>
                <w:lang w:val="en-US" w:eastAsia="ja-JP"/>
              </w:rPr>
              <w:t>[SSB, non-DRX]</w:t>
            </w:r>
          </w:p>
        </w:tc>
        <w:tc>
          <w:tcPr>
            <w:tcW w:w="686" w:type="pct"/>
            <w:tcBorders>
              <w:top w:val="single" w:sz="4" w:space="0" w:color="auto"/>
              <w:bottom w:val="single" w:sz="12" w:space="0" w:color="auto"/>
            </w:tcBorders>
          </w:tcPr>
          <w:p w14:paraId="7700D60C" w14:textId="77777777" w:rsidR="0080531D" w:rsidRPr="00177CCC" w:rsidRDefault="0080531D" w:rsidP="00BD55F3">
            <w:pPr>
              <w:rPr>
                <w:lang w:val="en-US" w:eastAsia="ja-JP"/>
              </w:rPr>
            </w:pPr>
            <w:r>
              <w:rPr>
                <w:lang w:val="en-US" w:eastAsia="ja-JP"/>
              </w:rPr>
              <w:t>Nokia</w:t>
            </w:r>
          </w:p>
        </w:tc>
      </w:tr>
    </w:tbl>
    <w:p w14:paraId="5D672FA0" w14:textId="581C7F67" w:rsidR="0080531D" w:rsidRDefault="0080531D" w:rsidP="0080531D">
      <w:r w:rsidRPr="0080531D">
        <w:t xml:space="preserve"> </w:t>
      </w:r>
    </w:p>
    <w:p w14:paraId="757E5EE6" w14:textId="1FEF4843" w:rsidR="0080531D" w:rsidRDefault="0080531D" w:rsidP="0080531D">
      <w:r>
        <w:t xml:space="preserve">However, there are no requirements in the core part for measurement accuracy in FR2-NTN. The inclusion of the test cases would require the inclusion of such core requirements.  </w:t>
      </w:r>
    </w:p>
    <w:p w14:paraId="4C657430" w14:textId="0B0973ED" w:rsidR="0080531D" w:rsidRDefault="0080531D" w:rsidP="0080531D">
      <w:r>
        <w:t>Based on this we propose:</w:t>
      </w:r>
    </w:p>
    <w:p w14:paraId="14542863" w14:textId="18151342" w:rsidR="0080531D" w:rsidRDefault="002300BE" w:rsidP="002300BE">
      <w:pPr>
        <w:pStyle w:val="RAN4proposal"/>
      </w:pPr>
      <w:bookmarkStart w:id="10" w:name="_Toc166500397"/>
      <w:r>
        <w:t>RAN4 to discuss whether to introduce measurement accuracy requirements for FR2-NTN in the maintenance part of Rel-18.</w:t>
      </w:r>
      <w:bookmarkEnd w:id="10"/>
      <w:r>
        <w:t xml:space="preserve"> </w:t>
      </w:r>
    </w:p>
    <w:p w14:paraId="4A865AEB" w14:textId="77777777" w:rsidR="002300BE" w:rsidRPr="0080531D" w:rsidRDefault="002300BE" w:rsidP="0080531D"/>
    <w:p w14:paraId="3737BCC1" w14:textId="580066A2" w:rsidR="00CD7492" w:rsidRPr="00614DD8" w:rsidRDefault="00CD7492" w:rsidP="00A37002">
      <w:pPr>
        <w:pStyle w:val="RAN4H1"/>
        <w:rPr>
          <w:lang w:val="en-US"/>
        </w:rPr>
      </w:pPr>
      <w:bookmarkStart w:id="11" w:name="_Toc116995848"/>
      <w:r w:rsidRPr="00614DD8">
        <w:rPr>
          <w:lang w:val="en-US"/>
        </w:rPr>
        <w:t>Conclusion</w:t>
      </w:r>
      <w:bookmarkEnd w:id="11"/>
    </w:p>
    <w:p w14:paraId="70510C8E" w14:textId="77777777" w:rsidR="00381F95" w:rsidRPr="00614DD8" w:rsidRDefault="00616501" w:rsidP="00616501">
      <w:pPr>
        <w:rPr>
          <w:lang w:val="en-US"/>
        </w:rPr>
      </w:pPr>
      <w:r>
        <w:rPr>
          <w:lang w:val="en-US"/>
        </w:rPr>
        <w:t xml:space="preserve">This paper discussed the </w:t>
      </w:r>
      <w:r w:rsidR="00372776">
        <w:rPr>
          <w:lang w:val="en-US"/>
        </w:rPr>
        <w:t>testability of UEs in FR2-NTN, in special the transmit timing test case, and the adjustment on the test configurations required for meaningful tests related to this feature. Based on the discussion, the following observations and proposals were made:</w:t>
      </w:r>
    </w:p>
    <w:bookmarkStart w:id="12" w:name="_Toc116995849"/>
    <w:p w14:paraId="155AFBB2" w14:textId="3D50B3B6" w:rsidR="002300BE" w:rsidRDefault="00616501">
      <w:pPr>
        <w:pStyle w:val="TOC1"/>
        <w:rPr>
          <w:rFonts w:asciiTheme="minorHAnsi" w:eastAsiaTheme="minorEastAsia" w:hAnsiTheme="minorHAnsi"/>
          <w:b w:val="0"/>
          <w:iCs w:val="0"/>
          <w:kern w:val="2"/>
          <w:sz w:val="22"/>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6500394" w:history="1">
        <w:r w:rsidR="002300BE" w:rsidRPr="002A3909">
          <w:rPr>
            <w:rStyle w:val="Hyperlink"/>
          </w:rPr>
          <w:t xml:space="preserve">Proposal 1: For FR2-NTN, adopt </w:t>
        </w:r>
        <m:oMath>
          <m:r>
            <m:rPr>
              <m:sty m:val="bi"/>
            </m:rPr>
            <w:rPr>
              <w:rStyle w:val="Hyperlink"/>
              <w:rFonts w:ascii="Cambria Math" w:hAnsi="Cambria Math"/>
            </w:rPr>
            <m:t>T</m:t>
          </m:r>
          <m:r>
            <m:rPr>
              <m:nor/>
            </m:rPr>
            <w:rPr>
              <w:rStyle w:val="Hyperlink"/>
            </w:rPr>
            <m:t>GNSS_margin</m:t>
          </m:r>
        </m:oMath>
        <w:r w:rsidR="002300BE" w:rsidRPr="002A3909">
          <w:rPr>
            <w:rStyle w:val="Hyperlink"/>
          </w:rPr>
          <w:t xml:space="preserve"> equal to </w:t>
        </w:r>
        <m:oMath>
          <m:r>
            <m:rPr>
              <m:sty m:val="bi"/>
            </m:rPr>
            <w:rPr>
              <w:rStyle w:val="Hyperlink"/>
              <w:rFonts w:ascii="Cambria Math" w:hAnsi="Cambria Math"/>
            </w:rPr>
            <m:t>(Te_NTN-TE)/2</m:t>
          </m:r>
        </m:oMath>
        <w:r w:rsidR="002300BE" w:rsidRPr="002A3909">
          <w:rPr>
            <w:rStyle w:val="Hyperlink"/>
          </w:rPr>
          <w:t>, when AT commands are used in the test case in scenarios 1 and 2.</w:t>
        </w:r>
      </w:hyperlink>
    </w:p>
    <w:p w14:paraId="5E769E33" w14:textId="3460A57A" w:rsidR="002300BE" w:rsidRDefault="002A4344">
      <w:pPr>
        <w:pStyle w:val="TOC1"/>
        <w:rPr>
          <w:rFonts w:asciiTheme="minorHAnsi" w:eastAsiaTheme="minorEastAsia" w:hAnsiTheme="minorHAnsi"/>
          <w:b w:val="0"/>
          <w:iCs w:val="0"/>
          <w:kern w:val="2"/>
          <w:sz w:val="22"/>
          <w:lang w:eastAsia="zh-CN"/>
          <w14:ligatures w14:val="standardContextual"/>
        </w:rPr>
      </w:pPr>
      <w:hyperlink w:anchor="_Toc166500395" w:history="1">
        <w:r w:rsidR="002300BE" w:rsidRPr="002A3909">
          <w:rPr>
            <w:rStyle w:val="Hyperlink"/>
          </w:rPr>
          <w:t>Proposal 2: For case 3, adopt the transmit timing accuracy equal to cases 1 and 2, when UE is tested with fixed position in a simplified test setup.</w:t>
        </w:r>
      </w:hyperlink>
    </w:p>
    <w:p w14:paraId="079FEFC2" w14:textId="2769115B" w:rsidR="002300BE" w:rsidRDefault="002A4344">
      <w:pPr>
        <w:pStyle w:val="TOC1"/>
        <w:rPr>
          <w:rFonts w:asciiTheme="minorHAnsi" w:eastAsiaTheme="minorEastAsia" w:hAnsiTheme="minorHAnsi"/>
          <w:b w:val="0"/>
          <w:iCs w:val="0"/>
          <w:kern w:val="2"/>
          <w:sz w:val="22"/>
          <w:lang w:eastAsia="zh-CN"/>
          <w14:ligatures w14:val="standardContextual"/>
        </w:rPr>
      </w:pPr>
      <w:hyperlink w:anchor="_Toc166500396" w:history="1">
        <w:r w:rsidR="002300BE" w:rsidRPr="002A3909">
          <w:rPr>
            <w:rStyle w:val="Hyperlink"/>
          </w:rPr>
          <w:t>Proposal 3: For mobility test cases involving UEs with mechanically steered beams, make a note that the timing requirement for the completion of the mobility procedure depends on the setup of the test case, considering UE “minimum steering speed” of 22 degrees/s.</w:t>
        </w:r>
      </w:hyperlink>
    </w:p>
    <w:p w14:paraId="1DBDA82A" w14:textId="10F49440" w:rsidR="002300BE" w:rsidRDefault="002A4344">
      <w:pPr>
        <w:pStyle w:val="TOC1"/>
        <w:rPr>
          <w:rFonts w:asciiTheme="minorHAnsi" w:eastAsiaTheme="minorEastAsia" w:hAnsiTheme="minorHAnsi"/>
          <w:b w:val="0"/>
          <w:iCs w:val="0"/>
          <w:kern w:val="2"/>
          <w:sz w:val="22"/>
          <w:lang w:eastAsia="zh-CN"/>
          <w14:ligatures w14:val="standardContextual"/>
        </w:rPr>
      </w:pPr>
      <w:hyperlink w:anchor="_Toc166500397" w:history="1">
        <w:r w:rsidR="002300BE" w:rsidRPr="002A3909">
          <w:rPr>
            <w:rStyle w:val="Hyperlink"/>
          </w:rPr>
          <w:t>Proposal 4: RAN4 to discuss whether to introduce measurement accuracy requirements for FR2-NTN in the maintenance part of Rel-18.</w:t>
        </w:r>
      </w:hyperlink>
    </w:p>
    <w:p w14:paraId="089043FD" w14:textId="0FE92010" w:rsidR="00847264" w:rsidRPr="00614DD8" w:rsidRDefault="00616501" w:rsidP="008C39F7">
      <w:pPr>
        <w:rPr>
          <w:lang w:val="en-US"/>
        </w:rPr>
      </w:pPr>
      <w:r>
        <w:rPr>
          <w:i/>
          <w:iCs/>
          <w:u w:val="single"/>
          <w:lang w:val="en-US"/>
        </w:rPr>
        <w:fldChar w:fldCharType="end"/>
      </w:r>
    </w:p>
    <w:p w14:paraId="218CFCE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2"/>
    </w:p>
    <w:p w14:paraId="38CFFCE5" w14:textId="77777777" w:rsidR="004E7EC0" w:rsidRDefault="004E7EC0" w:rsidP="004E7EC0">
      <w:pPr>
        <w:numPr>
          <w:ilvl w:val="0"/>
          <w:numId w:val="21"/>
        </w:numPr>
        <w:overflowPunct w:val="0"/>
        <w:autoSpaceDE w:val="0"/>
        <w:autoSpaceDN w:val="0"/>
        <w:adjustRightInd w:val="0"/>
        <w:spacing w:after="0" w:line="240" w:lineRule="auto"/>
        <w:jc w:val="both"/>
        <w:textAlignment w:val="baseline"/>
      </w:pPr>
      <w:bookmarkStart w:id="13" w:name="_Ref114500673"/>
      <w:bookmarkStart w:id="14" w:name="_Ref54013899"/>
      <w:bookmarkStart w:id="15" w:name="_Ref141960737"/>
      <w:bookmarkStart w:id="16" w:name="_Ref118130196"/>
      <w:bookmarkStart w:id="17" w:name="_Ref158813489"/>
      <w:bookmarkEnd w:id="13"/>
      <w:r w:rsidRPr="00FD51CE">
        <w:t>RP-223534</w:t>
      </w:r>
      <w:r w:rsidRPr="00FF6B64">
        <w:t xml:space="preserve">, </w:t>
      </w:r>
      <w:bookmarkEnd w:id="14"/>
      <w:r w:rsidRPr="00917899">
        <w:rPr>
          <w:i/>
          <w:iCs/>
        </w:rPr>
        <w:t>“NR NTN (Non-Terrestrial Networks) enhancements”</w:t>
      </w:r>
      <w:r>
        <w:t>, Thales</w:t>
      </w:r>
      <w:bookmarkEnd w:id="15"/>
    </w:p>
    <w:p w14:paraId="1E25AD24" w14:textId="77777777" w:rsidR="004E7EC0" w:rsidRPr="00381F95" w:rsidRDefault="004E7EC0" w:rsidP="004E7EC0">
      <w:pPr>
        <w:numPr>
          <w:ilvl w:val="0"/>
          <w:numId w:val="21"/>
        </w:numPr>
        <w:autoSpaceDE w:val="0"/>
        <w:autoSpaceDN w:val="0"/>
        <w:adjustRightInd w:val="0"/>
        <w:jc w:val="both"/>
      </w:pPr>
      <w:bookmarkStart w:id="18" w:name="_Ref146643586"/>
      <w:r w:rsidRPr="00FD51CE">
        <w:t>RP-2</w:t>
      </w:r>
      <w:r>
        <w:t>32682</w:t>
      </w:r>
      <w:r w:rsidRPr="00FF6B64">
        <w:t xml:space="preserve">, </w:t>
      </w:r>
      <w:r w:rsidRPr="00BC6B72">
        <w:t>Summary of offline discussions for NTN testing</w:t>
      </w:r>
      <w:r>
        <w:t xml:space="preserve">, </w:t>
      </w:r>
      <w:r w:rsidRPr="00BC6B72">
        <w:rPr>
          <w:rFonts w:hint="eastAsia"/>
        </w:rPr>
        <w:t>RAN WG4 Chair, RAN WG5 Chair</w:t>
      </w:r>
      <w:bookmarkEnd w:id="18"/>
    </w:p>
    <w:p w14:paraId="267010A7" w14:textId="4334A5E1" w:rsidR="004E7EC0" w:rsidRDefault="0080531D" w:rsidP="004E7EC0">
      <w:pPr>
        <w:pStyle w:val="ListParagraph"/>
        <w:numPr>
          <w:ilvl w:val="0"/>
          <w:numId w:val="21"/>
        </w:numPr>
        <w:ind w:right="-22"/>
      </w:pPr>
      <w:bookmarkStart w:id="19" w:name="_Ref158818293"/>
      <w:bookmarkStart w:id="20" w:name="_Ref163487327"/>
      <w:bookmarkStart w:id="21" w:name="_Ref166499966"/>
      <w:r w:rsidRPr="0080531D">
        <w:t>R4-2406430</w:t>
      </w:r>
      <w:r w:rsidR="004E7EC0">
        <w:t xml:space="preserve">, </w:t>
      </w:r>
      <w:r w:rsidRPr="0080531D">
        <w:rPr>
          <w:rFonts w:cs="Arial"/>
          <w:i/>
          <w:iCs/>
          <w:sz w:val="18"/>
          <w:szCs w:val="18"/>
        </w:rPr>
        <w:t>WF on RRM requirements for NR_NTN_enh</w:t>
      </w:r>
      <w:r w:rsidR="004E7EC0" w:rsidRPr="0086642C">
        <w:rPr>
          <w:rFonts w:cs="Arial"/>
          <w:i/>
          <w:iCs/>
          <w:sz w:val="18"/>
          <w:szCs w:val="18"/>
        </w:rPr>
        <w:t xml:space="preserve">, </w:t>
      </w:r>
      <w:r w:rsidR="004E7EC0" w:rsidRPr="0099133A">
        <w:t xml:space="preserve">Moderator (Qualcomm Incorporated), </w:t>
      </w:r>
      <w:r w:rsidR="004E7EC0" w:rsidRPr="00381F95">
        <w:t>RAN</w:t>
      </w:r>
      <w:r w:rsidR="004E7EC0">
        <w:t>4</w:t>
      </w:r>
      <w:r w:rsidR="004E7EC0" w:rsidRPr="00381F95">
        <w:t>#1</w:t>
      </w:r>
      <w:r w:rsidR="004E7EC0">
        <w:t>10</w:t>
      </w:r>
      <w:r>
        <w:t>bis</w:t>
      </w:r>
      <w:r w:rsidR="004E7EC0" w:rsidRPr="00381F95">
        <w:t xml:space="preserve">, </w:t>
      </w:r>
      <w:bookmarkEnd w:id="19"/>
      <w:bookmarkEnd w:id="20"/>
      <w:r w:rsidRPr="0080531D">
        <w:t>Changsha, China, 15th – 19th April, 2024</w:t>
      </w:r>
      <w:bookmarkEnd w:id="21"/>
    </w:p>
    <w:p w14:paraId="343B9097" w14:textId="77777777" w:rsidR="004E7EC0" w:rsidRDefault="004E7EC0" w:rsidP="004E7EC0">
      <w:pPr>
        <w:pStyle w:val="ListParagraph"/>
        <w:numPr>
          <w:ilvl w:val="0"/>
          <w:numId w:val="21"/>
        </w:numPr>
      </w:pPr>
      <w:bookmarkStart w:id="22" w:name="_Ref163487814"/>
      <w:r w:rsidRPr="00BB3482">
        <w:t>R4-2316967,WF on NTN RAN task, Mediatek, 3GPP TSG-RAN WG4 Meeting #108</w:t>
      </w:r>
      <w:bookmarkEnd w:id="22"/>
    </w:p>
    <w:p w14:paraId="6C26B3FD" w14:textId="4623DD3A" w:rsidR="00E43BF9" w:rsidRPr="00372776" w:rsidRDefault="0080531D" w:rsidP="00416905">
      <w:pPr>
        <w:numPr>
          <w:ilvl w:val="0"/>
          <w:numId w:val="21"/>
        </w:numPr>
        <w:overflowPunct w:val="0"/>
        <w:autoSpaceDE w:val="0"/>
        <w:autoSpaceDN w:val="0"/>
        <w:adjustRightInd w:val="0"/>
        <w:spacing w:after="0" w:line="240" w:lineRule="auto"/>
        <w:jc w:val="both"/>
        <w:textAlignment w:val="baseline"/>
      </w:pPr>
      <w:bookmarkStart w:id="23" w:name="_Ref146543281"/>
      <w:bookmarkEnd w:id="16"/>
      <w:bookmarkEnd w:id="17"/>
      <w:r w:rsidRPr="002E5AC7">
        <w:t>RP-232694</w:t>
      </w:r>
      <w:r>
        <w:t xml:space="preserve">, </w:t>
      </w:r>
      <w:r w:rsidRPr="002E5AC7">
        <w:rPr>
          <w:i/>
          <w:iCs/>
        </w:rPr>
        <w:t>“WF on potential RRM objectives for NR-NTN deployment in above 10 GHz</w:t>
      </w:r>
      <w:r w:rsidRPr="002E5AC7">
        <w:rPr>
          <w:i/>
          <w:iCs/>
        </w:rPr>
        <w:br/>
        <w:t xml:space="preserve"> (NR-NTN-enh WID)”</w:t>
      </w:r>
      <w:r>
        <w:rPr>
          <w:i/>
          <w:iCs/>
        </w:rPr>
        <w:t xml:space="preserve">, </w:t>
      </w:r>
      <w:r>
        <w:t>Thales, RAN #101, Bangalore, 11-15 September, 2023.</w:t>
      </w:r>
      <w:bookmarkEnd w:id="23"/>
      <w:r>
        <w:t xml:space="preserve"> </w:t>
      </w:r>
    </w:p>
    <w:sectPr w:rsidR="00E43BF9" w:rsidRPr="00372776" w:rsidSect="00667F5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B6406" w14:textId="77777777" w:rsidR="00667F53" w:rsidRDefault="00667F53" w:rsidP="00001C9B">
      <w:pPr>
        <w:spacing w:after="0" w:line="240" w:lineRule="auto"/>
      </w:pPr>
      <w:r>
        <w:separator/>
      </w:r>
    </w:p>
  </w:endnote>
  <w:endnote w:type="continuationSeparator" w:id="0">
    <w:p w14:paraId="4FBE4353" w14:textId="77777777" w:rsidR="00667F53" w:rsidRDefault="00667F53" w:rsidP="00001C9B">
      <w:pPr>
        <w:spacing w:after="0" w:line="240" w:lineRule="auto"/>
      </w:pPr>
      <w:r>
        <w:continuationSeparator/>
      </w:r>
    </w:p>
  </w:endnote>
  <w:endnote w:type="continuationNotice" w:id="1">
    <w:p w14:paraId="12CF3A59" w14:textId="77777777" w:rsidR="002A4344" w:rsidRDefault="002A4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D942" w14:textId="77777777" w:rsidR="00667F53" w:rsidRDefault="00667F53" w:rsidP="00001C9B">
      <w:pPr>
        <w:spacing w:after="0" w:line="240" w:lineRule="auto"/>
      </w:pPr>
      <w:r>
        <w:separator/>
      </w:r>
    </w:p>
  </w:footnote>
  <w:footnote w:type="continuationSeparator" w:id="0">
    <w:p w14:paraId="30693F21" w14:textId="77777777" w:rsidR="00667F53" w:rsidRDefault="00667F53" w:rsidP="00001C9B">
      <w:pPr>
        <w:spacing w:after="0" w:line="240" w:lineRule="auto"/>
      </w:pPr>
      <w:r>
        <w:continuationSeparator/>
      </w:r>
    </w:p>
  </w:footnote>
  <w:footnote w:type="continuationNotice" w:id="1">
    <w:p w14:paraId="1CC026B0" w14:textId="77777777" w:rsidR="002A4344" w:rsidRDefault="002A43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93927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67F53"/>
    <w:rsid w:val="00001BD6"/>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A3BA4"/>
    <w:rsid w:val="001A6D1F"/>
    <w:rsid w:val="001B1EA8"/>
    <w:rsid w:val="001C5F50"/>
    <w:rsid w:val="001E30F6"/>
    <w:rsid w:val="00217EE5"/>
    <w:rsid w:val="002300BE"/>
    <w:rsid w:val="00235F5C"/>
    <w:rsid w:val="00257FA3"/>
    <w:rsid w:val="00277B56"/>
    <w:rsid w:val="00282A74"/>
    <w:rsid w:val="002849D4"/>
    <w:rsid w:val="002A19F5"/>
    <w:rsid w:val="002A4344"/>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72776"/>
    <w:rsid w:val="00372D55"/>
    <w:rsid w:val="00381F95"/>
    <w:rsid w:val="003A710A"/>
    <w:rsid w:val="003B659E"/>
    <w:rsid w:val="003C275E"/>
    <w:rsid w:val="003C4FDE"/>
    <w:rsid w:val="003E58DF"/>
    <w:rsid w:val="00404C4C"/>
    <w:rsid w:val="0041423F"/>
    <w:rsid w:val="00414F81"/>
    <w:rsid w:val="004159C2"/>
    <w:rsid w:val="00416905"/>
    <w:rsid w:val="00436A0F"/>
    <w:rsid w:val="00437150"/>
    <w:rsid w:val="0043750A"/>
    <w:rsid w:val="00447577"/>
    <w:rsid w:val="004732E9"/>
    <w:rsid w:val="004854BB"/>
    <w:rsid w:val="0049393F"/>
    <w:rsid w:val="00494493"/>
    <w:rsid w:val="00496606"/>
    <w:rsid w:val="004C3B74"/>
    <w:rsid w:val="004E5E66"/>
    <w:rsid w:val="004E7ADB"/>
    <w:rsid w:val="004E7EC0"/>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6501"/>
    <w:rsid w:val="00617400"/>
    <w:rsid w:val="00632D29"/>
    <w:rsid w:val="00664950"/>
    <w:rsid w:val="00667F53"/>
    <w:rsid w:val="00683220"/>
    <w:rsid w:val="00687FA0"/>
    <w:rsid w:val="006A3C11"/>
    <w:rsid w:val="006B7010"/>
    <w:rsid w:val="006C3095"/>
    <w:rsid w:val="006E1151"/>
    <w:rsid w:val="006E6311"/>
    <w:rsid w:val="007145FF"/>
    <w:rsid w:val="00715B2A"/>
    <w:rsid w:val="00733B21"/>
    <w:rsid w:val="007450F1"/>
    <w:rsid w:val="00746507"/>
    <w:rsid w:val="00751515"/>
    <w:rsid w:val="007626B7"/>
    <w:rsid w:val="0078212B"/>
    <w:rsid w:val="00784DF6"/>
    <w:rsid w:val="00785232"/>
    <w:rsid w:val="007B186C"/>
    <w:rsid w:val="007B62EF"/>
    <w:rsid w:val="007B7198"/>
    <w:rsid w:val="007C1696"/>
    <w:rsid w:val="007C3ED0"/>
    <w:rsid w:val="007C48C4"/>
    <w:rsid w:val="007C5971"/>
    <w:rsid w:val="007E42DC"/>
    <w:rsid w:val="007F54B9"/>
    <w:rsid w:val="0080531D"/>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7740"/>
    <w:rsid w:val="009302C1"/>
    <w:rsid w:val="00936159"/>
    <w:rsid w:val="00977E1D"/>
    <w:rsid w:val="00982E2F"/>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B7CB2"/>
    <w:rsid w:val="00BE0AF6"/>
    <w:rsid w:val="00BE1F03"/>
    <w:rsid w:val="00BE58A7"/>
    <w:rsid w:val="00BF2218"/>
    <w:rsid w:val="00C0426B"/>
    <w:rsid w:val="00C045DF"/>
    <w:rsid w:val="00C26D43"/>
    <w:rsid w:val="00C35173"/>
    <w:rsid w:val="00C46548"/>
    <w:rsid w:val="00C52756"/>
    <w:rsid w:val="00C574D5"/>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248"/>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A2311"/>
    <w:rsid w:val="00EC7BC3"/>
    <w:rsid w:val="00ED7600"/>
    <w:rsid w:val="00EF6073"/>
    <w:rsid w:val="00EF698B"/>
    <w:rsid w:val="00F1362C"/>
    <w:rsid w:val="00F414F1"/>
    <w:rsid w:val="00F508B8"/>
    <w:rsid w:val="00F72CB1"/>
    <w:rsid w:val="00F8215E"/>
    <w:rsid w:val="00F824F5"/>
    <w:rsid w:val="00F90FAB"/>
    <w:rsid w:val="00F9374D"/>
    <w:rsid w:val="00FA0EEE"/>
    <w:rsid w:val="00FB4743"/>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1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paragraph" w:styleId="Header">
    <w:name w:val="header"/>
    <w:basedOn w:val="Normal"/>
    <w:link w:val="HeaderChar"/>
    <w:uiPriority w:val="99"/>
    <w:unhideWhenUsed/>
    <w:rsid w:val="004C3B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3B74"/>
    <w:rPr>
      <w:rFonts w:ascii="Times New Roman" w:hAnsi="Times New Roman"/>
      <w:sz w:val="20"/>
      <w:lang w:val="en-GB"/>
    </w:rPr>
  </w:style>
  <w:style w:type="paragraph" w:styleId="Footer">
    <w:name w:val="footer"/>
    <w:basedOn w:val="Normal"/>
    <w:link w:val="FooterChar"/>
    <w:uiPriority w:val="99"/>
    <w:unhideWhenUsed/>
    <w:rsid w:val="004C3B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3B7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RBI5PAMIO524-1616901215-21757</_dlc_DocId>
    <HideFromDelve xmlns="71c5aaf6-e6ce-465b-b873-5148d2a4c105">false</HideFromDelve>
    <Comments xmlns="3f2ce089-3858-4176-9a21-a30f9204848e">OK</Comments>
    <_dlc_DocIdUrl xmlns="71c5aaf6-e6ce-465b-b873-5148d2a4c105">
      <Url>https://nokia.sharepoint.com/sites/gxp/_layouts/15/DocIdRedir.aspx?ID=RBI5PAMIO524-1616901215-21757</Url>
      <Description>RBI5PAMIO524-1616901215-21757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DEA3AF02-0424-489F-84AF-002C98EF5D7C}">
  <ds:schemaRefs>
    <ds:schemaRef ds:uri="http://schemas.microsoft.com/sharepoint/v3/contenttype/forms"/>
  </ds:schemaRefs>
</ds:datastoreItem>
</file>

<file path=customXml/itemProps3.xml><?xml version="1.0" encoding="utf-8"?>
<ds:datastoreItem xmlns:ds="http://schemas.openxmlformats.org/officeDocument/2006/customXml" ds:itemID="{B98D16A9-B99C-4A0E-BBF1-7AE7E39C5635}">
  <ds:schemaRefs>
    <ds:schemaRef ds:uri="http://schemas.microsoft.com/sharepoint/events"/>
  </ds:schemaRefs>
</ds:datastoreItem>
</file>

<file path=customXml/itemProps4.xml><?xml version="1.0" encoding="utf-8"?>
<ds:datastoreItem xmlns:ds="http://schemas.openxmlformats.org/officeDocument/2006/customXml" ds:itemID="{D4ACA785-DBB5-4FCA-B0D1-09C9CC99B877}">
  <ds:schemaRefs>
    <ds:schemaRef ds:uri="Microsoft.SharePoint.Taxonomy.ContentTypeSync"/>
  </ds:schemaRefs>
</ds:datastoreItem>
</file>

<file path=customXml/itemProps5.xml><?xml version="1.0" encoding="utf-8"?>
<ds:datastoreItem xmlns:ds="http://schemas.openxmlformats.org/officeDocument/2006/customXml" ds:itemID="{C96B306C-1383-4309-8634-B48F61ABB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D3BF0-CBF4-4351-84B5-65B802D520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2024-05-13T11:46:00Z</dcterms:created>
  <dcterms:modified xsi:type="dcterms:W3CDTF">2024-05-13T11:47:00Z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c054464c-e1e9-4d90-90e2-4c71ce54314f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